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146" w:rsidRDefault="00BB2146" w:rsidP="00BB2146">
      <w:pPr>
        <w:rPr>
          <w:b/>
          <w:snapToGrid w:val="0"/>
          <w:sz w:val="28"/>
          <w:szCs w:val="28"/>
        </w:rPr>
      </w:pPr>
      <w:r w:rsidRPr="008B5D2C">
        <w:rPr>
          <w:b/>
          <w:snapToGrid w:val="0"/>
          <w:sz w:val="28"/>
          <w:szCs w:val="28"/>
        </w:rPr>
        <w:t>Kernpunkte der neuen Verwaltungsvorschrift</w:t>
      </w:r>
    </w:p>
    <w:p w:rsidR="00BB2146" w:rsidRPr="008B5D2C" w:rsidRDefault="00BB2146" w:rsidP="00BB2146">
      <w:pPr>
        <w:rPr>
          <w:b/>
          <w:snapToGrid w:val="0"/>
          <w:sz w:val="28"/>
          <w:szCs w:val="28"/>
        </w:rPr>
      </w:pPr>
    </w:p>
    <w:tbl>
      <w:tblPr>
        <w:tblW w:w="107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0"/>
        <w:gridCol w:w="340"/>
        <w:gridCol w:w="4536"/>
        <w:gridCol w:w="340"/>
        <w:gridCol w:w="2155"/>
        <w:gridCol w:w="284"/>
        <w:gridCol w:w="2155"/>
      </w:tblGrid>
      <w:tr w:rsidR="00BB2146" w:rsidRPr="001C7F57" w:rsidTr="00DB410C">
        <w:tc>
          <w:tcPr>
            <w:tcW w:w="970" w:type="dxa"/>
          </w:tcPr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  <w:r w:rsidRPr="001C7F57">
              <w:rPr>
                <w:snapToGrid w:val="0"/>
                <w:sz w:val="24"/>
                <w:szCs w:val="24"/>
              </w:rPr>
              <w:t xml:space="preserve">Kl. </w:t>
            </w:r>
          </w:p>
        </w:tc>
        <w:tc>
          <w:tcPr>
            <w:tcW w:w="340" w:type="dxa"/>
          </w:tcPr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</w:tc>
        <w:tc>
          <w:tcPr>
            <w:tcW w:w="4536" w:type="dxa"/>
          </w:tcPr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  <w:r w:rsidRPr="001C7F57">
              <w:rPr>
                <w:snapToGrid w:val="0"/>
                <w:sz w:val="24"/>
                <w:szCs w:val="24"/>
              </w:rPr>
              <w:t xml:space="preserve">Voraussetzungen </w:t>
            </w:r>
          </w:p>
        </w:tc>
        <w:tc>
          <w:tcPr>
            <w:tcW w:w="340" w:type="dxa"/>
          </w:tcPr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</w:tc>
        <w:tc>
          <w:tcPr>
            <w:tcW w:w="2155" w:type="dxa"/>
          </w:tcPr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  <w:r w:rsidRPr="001C7F57">
              <w:rPr>
                <w:snapToGrid w:val="0"/>
                <w:sz w:val="24"/>
                <w:szCs w:val="24"/>
              </w:rPr>
              <w:t>Maßnahmen</w:t>
            </w:r>
          </w:p>
        </w:tc>
        <w:tc>
          <w:tcPr>
            <w:tcW w:w="284" w:type="dxa"/>
          </w:tcPr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</w:tc>
        <w:tc>
          <w:tcPr>
            <w:tcW w:w="2155" w:type="dxa"/>
          </w:tcPr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</w:tc>
      </w:tr>
      <w:tr w:rsidR="00BB2146" w:rsidRPr="001C7F57" w:rsidTr="00DB410C">
        <w:tc>
          <w:tcPr>
            <w:tcW w:w="970" w:type="dxa"/>
          </w:tcPr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  <w:r w:rsidRPr="001C7F57">
              <w:rPr>
                <w:snapToGrid w:val="0"/>
                <w:sz w:val="24"/>
                <w:szCs w:val="24"/>
              </w:rPr>
              <w:t xml:space="preserve">Kl. 2 </w:t>
            </w:r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  <w:r w:rsidRPr="001C7F57">
              <w:rPr>
                <w:snapToGrid w:val="0"/>
                <w:sz w:val="24"/>
                <w:szCs w:val="24"/>
              </w:rPr>
              <w:t xml:space="preserve">bis </w:t>
            </w:r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  <w:r w:rsidRPr="001C7F57">
              <w:rPr>
                <w:snapToGrid w:val="0"/>
                <w:sz w:val="24"/>
                <w:szCs w:val="24"/>
              </w:rPr>
              <w:t>Kl. 6</w:t>
            </w:r>
          </w:p>
        </w:tc>
        <w:tc>
          <w:tcPr>
            <w:tcW w:w="340" w:type="dxa"/>
          </w:tcPr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</w:tc>
        <w:tc>
          <w:tcPr>
            <w:tcW w:w="4536" w:type="dxa"/>
          </w:tcPr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  <w:r w:rsidRPr="001C7F57">
              <w:rPr>
                <w:i/>
                <w:snapToGrid w:val="0"/>
                <w:sz w:val="24"/>
                <w:szCs w:val="24"/>
              </w:rPr>
              <w:t>Schwierigkeiten</w:t>
            </w:r>
            <w:r w:rsidRPr="001C7F57">
              <w:rPr>
                <w:snapToGrid w:val="0"/>
                <w:sz w:val="24"/>
                <w:szCs w:val="24"/>
              </w:rPr>
              <w:t xml:space="preserve"> im Rechtschreiben oder Lesen trotz bisheriger Förderung</w:t>
            </w:r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  <w:r w:rsidRPr="001C7F57">
              <w:rPr>
                <w:snapToGrid w:val="0"/>
                <w:sz w:val="24"/>
                <w:szCs w:val="24"/>
              </w:rPr>
              <w:t>Leistungen dauerhaft schwächer als „ausreichend“</w:t>
            </w:r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  <w:r w:rsidRPr="001C7F57">
              <w:rPr>
                <w:snapToGrid w:val="0"/>
                <w:sz w:val="24"/>
                <w:szCs w:val="24"/>
              </w:rPr>
              <w:t>Unabhängig von Ursachen, d.h. auch bei Lernrückstand, Übungsmangel, Begabungsmangel</w:t>
            </w:r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  <w:r w:rsidRPr="001C7F57">
              <w:rPr>
                <w:snapToGrid w:val="0"/>
                <w:sz w:val="24"/>
                <w:szCs w:val="24"/>
              </w:rPr>
              <w:t>in Deutsch und Fremdsprache(n)</w:t>
            </w:r>
          </w:p>
        </w:tc>
        <w:tc>
          <w:tcPr>
            <w:tcW w:w="340" w:type="dxa"/>
          </w:tcPr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  <w:r w:rsidRPr="001C7F57">
              <w:rPr>
                <w:snapToGrid w:val="0"/>
                <w:sz w:val="24"/>
                <w:szCs w:val="24"/>
              </w:rPr>
              <w:sym w:font="Wingdings 3" w:char="F0D2"/>
            </w:r>
          </w:p>
        </w:tc>
        <w:tc>
          <w:tcPr>
            <w:tcW w:w="4594" w:type="dxa"/>
            <w:gridSpan w:val="3"/>
          </w:tcPr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  <w:r w:rsidRPr="001C7F57">
              <w:rPr>
                <w:snapToGrid w:val="0"/>
                <w:sz w:val="24"/>
                <w:szCs w:val="24"/>
              </w:rPr>
              <w:t>FÖRDERUNG</w:t>
            </w:r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  <w:r w:rsidRPr="001C7F57">
              <w:rPr>
                <w:snapToGrid w:val="0"/>
                <w:sz w:val="24"/>
                <w:szCs w:val="24"/>
              </w:rPr>
              <w:t>Absenkung des Anforderungsprofils (= Maßnahmen der zurückhaltenden Gewichtung) wird zu einem Muss!</w:t>
            </w:r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  <w:r w:rsidRPr="001C7F57">
              <w:rPr>
                <w:snapToGrid w:val="0"/>
                <w:sz w:val="24"/>
                <w:szCs w:val="24"/>
              </w:rPr>
              <w:t>Pädagogische schriftliche Kommentierung</w:t>
            </w:r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  <w:r w:rsidRPr="001C7F57">
              <w:rPr>
                <w:snapToGrid w:val="0"/>
                <w:sz w:val="24"/>
                <w:szCs w:val="24"/>
              </w:rPr>
              <w:t>Klassenkonferenzbeschluss</w:t>
            </w:r>
          </w:p>
        </w:tc>
      </w:tr>
      <w:tr w:rsidR="00BB2146" w:rsidRPr="001C7F57" w:rsidTr="00DB410C">
        <w:tc>
          <w:tcPr>
            <w:tcW w:w="970" w:type="dxa"/>
          </w:tcPr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</w:tc>
        <w:tc>
          <w:tcPr>
            <w:tcW w:w="340" w:type="dxa"/>
          </w:tcPr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</w:tc>
        <w:tc>
          <w:tcPr>
            <w:tcW w:w="4536" w:type="dxa"/>
          </w:tcPr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</w:tc>
        <w:tc>
          <w:tcPr>
            <w:tcW w:w="340" w:type="dxa"/>
          </w:tcPr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</w:tc>
        <w:tc>
          <w:tcPr>
            <w:tcW w:w="2155" w:type="dxa"/>
          </w:tcPr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</w:tc>
        <w:tc>
          <w:tcPr>
            <w:tcW w:w="284" w:type="dxa"/>
          </w:tcPr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</w:tc>
        <w:tc>
          <w:tcPr>
            <w:tcW w:w="2155" w:type="dxa"/>
          </w:tcPr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</w:tc>
      </w:tr>
      <w:tr w:rsidR="00BB2146" w:rsidRPr="001C7F57" w:rsidTr="00DB410C">
        <w:tc>
          <w:tcPr>
            <w:tcW w:w="970" w:type="dxa"/>
          </w:tcPr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  <w:r w:rsidRPr="001C7F57">
              <w:rPr>
                <w:snapToGrid w:val="0"/>
                <w:sz w:val="24"/>
                <w:szCs w:val="24"/>
              </w:rPr>
              <w:t xml:space="preserve">Kl. 7 </w:t>
            </w:r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  <w:r w:rsidRPr="001C7F57">
              <w:rPr>
                <w:snapToGrid w:val="0"/>
                <w:sz w:val="24"/>
                <w:szCs w:val="24"/>
              </w:rPr>
              <w:t xml:space="preserve">bis </w:t>
            </w:r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  <w:r w:rsidRPr="001C7F57">
              <w:rPr>
                <w:snapToGrid w:val="0"/>
                <w:sz w:val="24"/>
                <w:szCs w:val="24"/>
              </w:rPr>
              <w:t>Sek. I</w:t>
            </w:r>
          </w:p>
        </w:tc>
        <w:tc>
          <w:tcPr>
            <w:tcW w:w="340" w:type="dxa"/>
          </w:tcPr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</w:tc>
        <w:tc>
          <w:tcPr>
            <w:tcW w:w="4536" w:type="dxa"/>
          </w:tcPr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  <w:r w:rsidRPr="001C7F57">
              <w:rPr>
                <w:i/>
                <w:snapToGrid w:val="0"/>
                <w:sz w:val="24"/>
                <w:szCs w:val="24"/>
              </w:rPr>
              <w:t xml:space="preserve">Dauerhaft nicht ausreichende </w:t>
            </w:r>
            <w:r w:rsidRPr="001C7F57">
              <w:rPr>
                <w:snapToGrid w:val="0"/>
                <w:sz w:val="24"/>
                <w:szCs w:val="24"/>
              </w:rPr>
              <w:t>Leistungen im Rechtschreiben oder Lesen</w:t>
            </w:r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  <w:r w:rsidRPr="001C7F57">
              <w:rPr>
                <w:snapToGrid w:val="0"/>
                <w:sz w:val="24"/>
                <w:szCs w:val="24"/>
              </w:rPr>
              <w:t>in Deutsch oder Fremdsprache(n)</w:t>
            </w:r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  <w:r w:rsidRPr="001C7F57">
              <w:rPr>
                <w:snapToGrid w:val="0"/>
                <w:sz w:val="24"/>
                <w:szCs w:val="24"/>
              </w:rPr>
              <w:t xml:space="preserve">LRS als </w:t>
            </w:r>
            <w:r w:rsidRPr="001C7F57">
              <w:rPr>
                <w:i/>
                <w:snapToGrid w:val="0"/>
                <w:sz w:val="24"/>
                <w:szCs w:val="24"/>
              </w:rPr>
              <w:t>Teilleitungsschwäche</w:t>
            </w:r>
            <w:r w:rsidRPr="001C7F57">
              <w:rPr>
                <w:snapToGrid w:val="0"/>
                <w:sz w:val="24"/>
                <w:szCs w:val="24"/>
              </w:rPr>
              <w:t xml:space="preserve"> bei sonst ausreichender Eignung für die Schulart</w:t>
            </w:r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  <w:r w:rsidRPr="001C7F57">
              <w:rPr>
                <w:snapToGrid w:val="0"/>
                <w:sz w:val="24"/>
                <w:szCs w:val="24"/>
              </w:rPr>
              <w:t>Feststellung einer LRS und des besonderen Förderbedarfs durch die Klassenkonferenz</w:t>
            </w:r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  <w:r w:rsidRPr="001C7F57">
              <w:rPr>
                <w:snapToGrid w:val="0"/>
                <w:sz w:val="24"/>
                <w:szCs w:val="24"/>
              </w:rPr>
              <w:t xml:space="preserve">aufgrund einer fundierten </w:t>
            </w:r>
            <w:r w:rsidRPr="001C7F57">
              <w:rPr>
                <w:i/>
                <w:snapToGrid w:val="0"/>
                <w:sz w:val="24"/>
                <w:szCs w:val="24"/>
              </w:rPr>
              <w:t>Diagnose</w:t>
            </w:r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  <w:r w:rsidRPr="001C7F57">
              <w:rPr>
                <w:snapToGrid w:val="0"/>
                <w:sz w:val="24"/>
                <w:szCs w:val="24"/>
              </w:rPr>
              <w:t xml:space="preserve">als „begründeter </w:t>
            </w:r>
            <w:r w:rsidRPr="001C7F57">
              <w:rPr>
                <w:i/>
                <w:snapToGrid w:val="0"/>
                <w:sz w:val="24"/>
                <w:szCs w:val="24"/>
              </w:rPr>
              <w:t>Einzel</w:t>
            </w:r>
            <w:r w:rsidRPr="001C7F57">
              <w:rPr>
                <w:snapToGrid w:val="0"/>
                <w:sz w:val="24"/>
                <w:szCs w:val="24"/>
              </w:rPr>
              <w:t xml:space="preserve">fall“ </w:t>
            </w:r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  <w:r w:rsidRPr="001C7F57">
              <w:rPr>
                <w:snapToGrid w:val="0"/>
                <w:sz w:val="24"/>
                <w:szCs w:val="24"/>
              </w:rPr>
              <w:t xml:space="preserve">in Fremdsprache(n) nur, wenn auch in Deutsch bis Kl. 6 Lese-Rechtschreibleistungen nicht ausreichend waren. </w:t>
            </w:r>
          </w:p>
        </w:tc>
        <w:tc>
          <w:tcPr>
            <w:tcW w:w="340" w:type="dxa"/>
          </w:tcPr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</w:tc>
        <w:tc>
          <w:tcPr>
            <w:tcW w:w="2155" w:type="dxa"/>
          </w:tcPr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  <w:r w:rsidRPr="001C7F57">
              <w:rPr>
                <w:snapToGrid w:val="0"/>
                <w:sz w:val="24"/>
                <w:szCs w:val="24"/>
              </w:rPr>
              <w:t>FÖRDERUNG nach</w:t>
            </w:r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  <w:proofErr w:type="spellStart"/>
            <w:r w:rsidRPr="001C7F57">
              <w:rPr>
                <w:b/>
                <w:snapToGrid w:val="0"/>
                <w:sz w:val="24"/>
                <w:szCs w:val="24"/>
              </w:rPr>
              <w:t>Nachteilsausgleich</w:t>
            </w:r>
            <w:proofErr w:type="spellEnd"/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  <w:p w:rsidR="00BB2146" w:rsidRPr="001C7F57" w:rsidRDefault="00BB2146" w:rsidP="00BB2146">
            <w:pPr>
              <w:numPr>
                <w:ilvl w:val="0"/>
                <w:numId w:val="1"/>
              </w:numPr>
              <w:ind w:left="360"/>
              <w:rPr>
                <w:snapToGrid w:val="0"/>
                <w:sz w:val="24"/>
                <w:szCs w:val="24"/>
              </w:rPr>
            </w:pPr>
            <w:r w:rsidRPr="001C7F57">
              <w:rPr>
                <w:snapToGrid w:val="0"/>
                <w:sz w:val="24"/>
                <w:szCs w:val="24"/>
              </w:rPr>
              <w:t>längere Prüfungszeit</w:t>
            </w:r>
          </w:p>
          <w:p w:rsidR="00BB2146" w:rsidRPr="001C7F57" w:rsidRDefault="00BB2146" w:rsidP="00BB2146">
            <w:pPr>
              <w:numPr>
                <w:ilvl w:val="0"/>
                <w:numId w:val="1"/>
              </w:numPr>
              <w:ind w:left="360"/>
              <w:rPr>
                <w:snapToGrid w:val="0"/>
                <w:sz w:val="24"/>
                <w:szCs w:val="24"/>
              </w:rPr>
            </w:pPr>
            <w:r w:rsidRPr="001C7F57">
              <w:rPr>
                <w:snapToGrid w:val="0"/>
                <w:sz w:val="24"/>
                <w:szCs w:val="24"/>
              </w:rPr>
              <w:t>Laptop als Schreibwerkzeug</w:t>
            </w:r>
          </w:p>
          <w:p w:rsidR="00BB2146" w:rsidRPr="001C7F57" w:rsidRDefault="00BB2146" w:rsidP="00BB2146">
            <w:pPr>
              <w:numPr>
                <w:ilvl w:val="0"/>
                <w:numId w:val="1"/>
              </w:numPr>
              <w:ind w:left="360"/>
              <w:rPr>
                <w:snapToGrid w:val="0"/>
                <w:sz w:val="24"/>
                <w:szCs w:val="24"/>
              </w:rPr>
            </w:pPr>
            <w:r w:rsidRPr="001C7F57">
              <w:rPr>
                <w:snapToGrid w:val="0"/>
                <w:sz w:val="24"/>
                <w:szCs w:val="24"/>
              </w:rPr>
              <w:t xml:space="preserve">Veränderung äußerer </w:t>
            </w:r>
            <w:proofErr w:type="spellStart"/>
            <w:r w:rsidRPr="001C7F57">
              <w:rPr>
                <w:snapToGrid w:val="0"/>
                <w:sz w:val="24"/>
                <w:szCs w:val="24"/>
              </w:rPr>
              <w:t>Prüfungsbe-dingungen</w:t>
            </w:r>
            <w:proofErr w:type="spellEnd"/>
          </w:p>
          <w:p w:rsidR="00BB2146" w:rsidRPr="001C7F57" w:rsidRDefault="00BB2146" w:rsidP="00BB2146">
            <w:pPr>
              <w:numPr>
                <w:ilvl w:val="0"/>
                <w:numId w:val="1"/>
              </w:numPr>
              <w:ind w:left="360"/>
              <w:rPr>
                <w:snapToGrid w:val="0"/>
                <w:sz w:val="24"/>
                <w:szCs w:val="24"/>
              </w:rPr>
            </w:pPr>
            <w:r w:rsidRPr="001C7F57">
              <w:rPr>
                <w:snapToGrid w:val="0"/>
                <w:sz w:val="24"/>
                <w:szCs w:val="24"/>
              </w:rPr>
              <w:t>maßvolle Gewichtsverlagerung zw. s – m</w:t>
            </w:r>
          </w:p>
          <w:p w:rsidR="00BB2146" w:rsidRPr="001C7F57" w:rsidRDefault="00BB2146" w:rsidP="00BB2146">
            <w:pPr>
              <w:numPr>
                <w:ilvl w:val="0"/>
                <w:numId w:val="1"/>
              </w:numPr>
              <w:ind w:left="360"/>
              <w:rPr>
                <w:snapToGrid w:val="0"/>
                <w:sz w:val="24"/>
                <w:szCs w:val="24"/>
              </w:rPr>
            </w:pPr>
            <w:r w:rsidRPr="001C7F57">
              <w:rPr>
                <w:snapToGrid w:val="0"/>
                <w:sz w:val="24"/>
                <w:szCs w:val="24"/>
              </w:rPr>
              <w:t>KK-Beschluss</w:t>
            </w:r>
          </w:p>
        </w:tc>
        <w:tc>
          <w:tcPr>
            <w:tcW w:w="284" w:type="dxa"/>
          </w:tcPr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</w:tc>
        <w:tc>
          <w:tcPr>
            <w:tcW w:w="2155" w:type="dxa"/>
          </w:tcPr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  <w:r w:rsidRPr="001C7F57">
              <w:rPr>
                <w:snapToGrid w:val="0"/>
                <w:sz w:val="24"/>
                <w:szCs w:val="24"/>
              </w:rPr>
              <w:t>FÖRDERPLAN</w:t>
            </w:r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  <w:r w:rsidRPr="001C7F57">
              <w:rPr>
                <w:b/>
                <w:snapToGrid w:val="0"/>
                <w:sz w:val="24"/>
                <w:szCs w:val="24"/>
              </w:rPr>
              <w:t>Absenkung des Anforderungsprofils in Deutsch bzw. Fremdsprache</w:t>
            </w:r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  <w:p w:rsidR="00BB2146" w:rsidRPr="001C7F57" w:rsidRDefault="00BB2146" w:rsidP="00BB2146">
            <w:pPr>
              <w:numPr>
                <w:ilvl w:val="0"/>
                <w:numId w:val="2"/>
              </w:numPr>
              <w:rPr>
                <w:snapToGrid w:val="0"/>
                <w:sz w:val="24"/>
                <w:szCs w:val="24"/>
              </w:rPr>
            </w:pPr>
            <w:r w:rsidRPr="001C7F57">
              <w:rPr>
                <w:snapToGrid w:val="0"/>
                <w:sz w:val="24"/>
                <w:szCs w:val="24"/>
              </w:rPr>
              <w:t>zurückhaltende Gewichtung bei Zeugnisnote</w:t>
            </w:r>
          </w:p>
          <w:p w:rsidR="00BB2146" w:rsidRPr="001C7F57" w:rsidRDefault="00BB2146" w:rsidP="00BB2146">
            <w:pPr>
              <w:numPr>
                <w:ilvl w:val="0"/>
                <w:numId w:val="2"/>
              </w:numPr>
              <w:rPr>
                <w:snapToGrid w:val="0"/>
                <w:sz w:val="24"/>
                <w:szCs w:val="24"/>
              </w:rPr>
            </w:pPr>
            <w:r w:rsidRPr="001C7F57">
              <w:rPr>
                <w:snapToGrid w:val="0"/>
                <w:sz w:val="24"/>
                <w:szCs w:val="24"/>
              </w:rPr>
              <w:t>andere Aufgabenstellung</w:t>
            </w:r>
          </w:p>
          <w:p w:rsidR="00BB2146" w:rsidRPr="001C7F57" w:rsidRDefault="00BB2146" w:rsidP="00BB2146">
            <w:pPr>
              <w:numPr>
                <w:ilvl w:val="0"/>
                <w:numId w:val="2"/>
              </w:numPr>
              <w:rPr>
                <w:snapToGrid w:val="0"/>
                <w:sz w:val="24"/>
                <w:szCs w:val="24"/>
              </w:rPr>
            </w:pPr>
            <w:r w:rsidRPr="001C7F57">
              <w:rPr>
                <w:snapToGrid w:val="0"/>
                <w:sz w:val="24"/>
                <w:szCs w:val="24"/>
              </w:rPr>
              <w:t>begrenzter Umfang</w:t>
            </w:r>
          </w:p>
          <w:p w:rsidR="00BB2146" w:rsidRPr="001C7F57" w:rsidRDefault="00BB2146" w:rsidP="00BB2146">
            <w:pPr>
              <w:numPr>
                <w:ilvl w:val="0"/>
                <w:numId w:val="2"/>
              </w:numPr>
              <w:rPr>
                <w:snapToGrid w:val="0"/>
                <w:sz w:val="24"/>
                <w:szCs w:val="24"/>
              </w:rPr>
            </w:pPr>
            <w:r w:rsidRPr="001C7F57">
              <w:rPr>
                <w:snapToGrid w:val="0"/>
                <w:sz w:val="24"/>
                <w:szCs w:val="24"/>
              </w:rPr>
              <w:t>Nichtbewertung der Rechtschreibung in allen anderen Fächern</w:t>
            </w:r>
          </w:p>
          <w:p w:rsidR="00BB2146" w:rsidRPr="001C7F57" w:rsidRDefault="00BB2146" w:rsidP="00BB2146">
            <w:pPr>
              <w:numPr>
                <w:ilvl w:val="0"/>
                <w:numId w:val="2"/>
              </w:numPr>
              <w:rPr>
                <w:snapToGrid w:val="0"/>
                <w:sz w:val="24"/>
                <w:szCs w:val="24"/>
              </w:rPr>
            </w:pPr>
            <w:r w:rsidRPr="001C7F57">
              <w:rPr>
                <w:snapToGrid w:val="0"/>
                <w:sz w:val="24"/>
                <w:szCs w:val="24"/>
              </w:rPr>
              <w:t>KK-Beschluss</w:t>
            </w:r>
          </w:p>
        </w:tc>
      </w:tr>
      <w:tr w:rsidR="00BB2146" w:rsidRPr="001C7F57" w:rsidTr="00DB410C">
        <w:tc>
          <w:tcPr>
            <w:tcW w:w="970" w:type="dxa"/>
          </w:tcPr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</w:tc>
        <w:tc>
          <w:tcPr>
            <w:tcW w:w="340" w:type="dxa"/>
          </w:tcPr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</w:tc>
        <w:tc>
          <w:tcPr>
            <w:tcW w:w="4536" w:type="dxa"/>
          </w:tcPr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</w:tc>
        <w:tc>
          <w:tcPr>
            <w:tcW w:w="340" w:type="dxa"/>
          </w:tcPr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</w:tc>
        <w:tc>
          <w:tcPr>
            <w:tcW w:w="2155" w:type="dxa"/>
          </w:tcPr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</w:tc>
        <w:tc>
          <w:tcPr>
            <w:tcW w:w="284" w:type="dxa"/>
          </w:tcPr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</w:tc>
        <w:tc>
          <w:tcPr>
            <w:tcW w:w="2155" w:type="dxa"/>
          </w:tcPr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</w:tc>
      </w:tr>
      <w:tr w:rsidR="00BB2146" w:rsidRPr="001C7F57" w:rsidTr="00DB410C">
        <w:trPr>
          <w:cantSplit/>
          <w:trHeight w:val="1134"/>
        </w:trPr>
        <w:tc>
          <w:tcPr>
            <w:tcW w:w="970" w:type="dxa"/>
            <w:textDirection w:val="btLr"/>
          </w:tcPr>
          <w:p w:rsidR="00BB2146" w:rsidRPr="001C7F57" w:rsidRDefault="00BB2146" w:rsidP="00DB410C">
            <w:pPr>
              <w:ind w:left="113" w:right="113"/>
              <w:rPr>
                <w:snapToGrid w:val="0"/>
                <w:sz w:val="24"/>
                <w:szCs w:val="24"/>
              </w:rPr>
            </w:pPr>
            <w:r w:rsidRPr="001C7F57">
              <w:rPr>
                <w:snapToGrid w:val="0"/>
                <w:sz w:val="24"/>
                <w:szCs w:val="24"/>
              </w:rPr>
              <w:t>Abschlussklassen; Kursstufe</w:t>
            </w:r>
          </w:p>
        </w:tc>
        <w:tc>
          <w:tcPr>
            <w:tcW w:w="340" w:type="dxa"/>
          </w:tcPr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</w:tc>
        <w:tc>
          <w:tcPr>
            <w:tcW w:w="4536" w:type="dxa"/>
          </w:tcPr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  <w:r w:rsidRPr="001C7F57">
              <w:rPr>
                <w:snapToGrid w:val="0"/>
                <w:sz w:val="24"/>
                <w:szCs w:val="24"/>
              </w:rPr>
              <w:t>keine zurückhaltende Gewichtung möglich!</w:t>
            </w:r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  <w:r w:rsidRPr="001C7F57">
              <w:rPr>
                <w:snapToGrid w:val="0"/>
                <w:sz w:val="24"/>
                <w:szCs w:val="24"/>
              </w:rPr>
              <w:t xml:space="preserve">Allein Maßnahmen des </w:t>
            </w:r>
            <w:proofErr w:type="spellStart"/>
            <w:r w:rsidRPr="001C7F57">
              <w:rPr>
                <w:snapToGrid w:val="0"/>
                <w:sz w:val="24"/>
                <w:szCs w:val="24"/>
              </w:rPr>
              <w:t>Nachteilsausgleichs</w:t>
            </w:r>
            <w:proofErr w:type="spellEnd"/>
            <w:r w:rsidRPr="001C7F57">
              <w:rPr>
                <w:snapToGrid w:val="0"/>
                <w:sz w:val="24"/>
                <w:szCs w:val="24"/>
              </w:rPr>
              <w:t xml:space="preserve"> noch möglich (über KK).</w:t>
            </w:r>
          </w:p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  <w:r w:rsidRPr="001C7F57">
              <w:rPr>
                <w:snapToGrid w:val="0"/>
                <w:sz w:val="24"/>
                <w:szCs w:val="24"/>
              </w:rPr>
              <w:t>(Im Abitur vorher anmelden.)</w:t>
            </w:r>
          </w:p>
        </w:tc>
        <w:tc>
          <w:tcPr>
            <w:tcW w:w="340" w:type="dxa"/>
          </w:tcPr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</w:tc>
        <w:tc>
          <w:tcPr>
            <w:tcW w:w="2155" w:type="dxa"/>
          </w:tcPr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  <w:r w:rsidRPr="001C7F57">
              <w:rPr>
                <w:snapToGrid w:val="0"/>
                <w:sz w:val="24"/>
                <w:szCs w:val="24"/>
              </w:rPr>
              <w:t xml:space="preserve">NTA führt zu </w:t>
            </w:r>
            <w:r w:rsidRPr="001C7F57">
              <w:rPr>
                <w:snapToGrid w:val="0"/>
                <w:sz w:val="24"/>
                <w:szCs w:val="24"/>
                <w:u w:val="single"/>
              </w:rPr>
              <w:t>keinem</w:t>
            </w:r>
            <w:r w:rsidRPr="001C7F57">
              <w:rPr>
                <w:snapToGrid w:val="0"/>
                <w:sz w:val="24"/>
                <w:szCs w:val="24"/>
              </w:rPr>
              <w:t xml:space="preserve"> Zeugnisvermerk! Leistung bleibt nur äußere Bedingungen geändert. </w:t>
            </w:r>
          </w:p>
        </w:tc>
        <w:tc>
          <w:tcPr>
            <w:tcW w:w="284" w:type="dxa"/>
          </w:tcPr>
          <w:p w:rsidR="00BB2146" w:rsidRPr="001C7F57" w:rsidRDefault="00BB2146" w:rsidP="00DB410C">
            <w:pPr>
              <w:rPr>
                <w:snapToGrid w:val="0"/>
                <w:sz w:val="24"/>
                <w:szCs w:val="24"/>
              </w:rPr>
            </w:pPr>
          </w:p>
        </w:tc>
        <w:tc>
          <w:tcPr>
            <w:tcW w:w="2155" w:type="dxa"/>
          </w:tcPr>
          <w:p w:rsidR="00BB2146" w:rsidRPr="001C7F57" w:rsidRDefault="00BB2146" w:rsidP="00DB410C">
            <w:pPr>
              <w:rPr>
                <w:snapToGrid w:val="0"/>
                <w:sz w:val="24"/>
                <w:szCs w:val="24"/>
                <w:u w:val="single"/>
              </w:rPr>
            </w:pPr>
            <w:r w:rsidRPr="001C7F57">
              <w:rPr>
                <w:snapToGrid w:val="0"/>
                <w:sz w:val="24"/>
                <w:szCs w:val="24"/>
              </w:rPr>
              <w:t xml:space="preserve">Absenkung der Anforderungen wegen Junktim mit Zeugnisvermerk </w:t>
            </w:r>
            <w:r w:rsidRPr="001C7F57">
              <w:rPr>
                <w:snapToGrid w:val="0"/>
                <w:sz w:val="24"/>
                <w:szCs w:val="24"/>
                <w:u w:val="single"/>
              </w:rPr>
              <w:t>nicht mehr möglich!</w:t>
            </w:r>
          </w:p>
        </w:tc>
      </w:tr>
    </w:tbl>
    <w:p w:rsidR="001D3F48" w:rsidRPr="00BB2146" w:rsidRDefault="001D3F48" w:rsidP="00BB2146"/>
    <w:sectPr w:rsidR="001D3F48" w:rsidRPr="00BB2146" w:rsidSect="00BB2146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347412F8"/>
    <w:multiLevelType w:val="hybridMultilevel"/>
    <w:tmpl w:val="EF3EDE5A"/>
    <w:lvl w:ilvl="0" w:tplc="FFFFFFFF">
      <w:numFmt w:val="bullet"/>
      <w:lvlText w:val="•"/>
      <w:lvlJc w:val="left"/>
      <w:pPr>
        <w:ind w:left="360" w:hanging="360"/>
      </w:pPr>
      <w:rPr>
        <w:rFonts w:ascii="Times New Roman" w:hAnsi="Times New Roman" w:hint="default"/>
        <w:sz w:val="3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vlJc w:val="left"/>
        <w:pPr>
          <w:ind w:left="720" w:hanging="360"/>
        </w:pPr>
        <w:rPr>
          <w:rFonts w:ascii="Times New Roman" w:hAnsi="Times New Roman" w:hint="default"/>
          <w:sz w:val="36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B2146"/>
    <w:rsid w:val="001D3F48"/>
    <w:rsid w:val="004F28AC"/>
    <w:rsid w:val="00742DD6"/>
    <w:rsid w:val="00823475"/>
    <w:rsid w:val="00BB2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B2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1521</Characters>
  <Application>Microsoft Office Word</Application>
  <DocSecurity>0</DocSecurity>
  <Lines>12</Lines>
  <Paragraphs>3</Paragraphs>
  <ScaleCrop>false</ScaleCrop>
  <Company>Gymnasium Ueberlingen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</dc:creator>
  <cp:lastModifiedBy>simone.seelhorst</cp:lastModifiedBy>
  <cp:revision>2</cp:revision>
  <dcterms:created xsi:type="dcterms:W3CDTF">2014-09-29T14:45:00Z</dcterms:created>
  <dcterms:modified xsi:type="dcterms:W3CDTF">2014-09-29T14:45:00Z</dcterms:modified>
</cp:coreProperties>
</file>